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F9E5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56D7D">
        <w:rPr>
          <w:rFonts w:ascii="Times New Roman" w:hAnsi="Times New Roman" w:cs="Times New Roman"/>
          <w:sz w:val="20"/>
          <w:szCs w:val="20"/>
        </w:rPr>
        <w:t xml:space="preserve">                                Załącznik Nr 2</w:t>
      </w:r>
    </w:p>
    <w:p w14:paraId="430F9937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56D7D">
        <w:rPr>
          <w:rFonts w:ascii="Times New Roman" w:hAnsi="Times New Roman" w:cs="Times New Roman"/>
          <w:sz w:val="20"/>
          <w:szCs w:val="20"/>
        </w:rPr>
        <w:tab/>
        <w:t>do Uchwały Nr XXIII/138/2021</w:t>
      </w:r>
    </w:p>
    <w:p w14:paraId="4875A759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D7D">
        <w:rPr>
          <w:rFonts w:ascii="Times New Roman" w:hAnsi="Times New Roman" w:cs="Times New Roman"/>
          <w:sz w:val="20"/>
          <w:szCs w:val="20"/>
        </w:rPr>
        <w:tab/>
        <w:t>z dnia 28.01.2021r.</w:t>
      </w:r>
    </w:p>
    <w:p w14:paraId="64A1EF66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6A15BD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56D7D">
        <w:rPr>
          <w:rFonts w:ascii="Times New Roman" w:hAnsi="Times New Roman" w:cs="Times New Roman"/>
          <w:b/>
          <w:bCs/>
          <w:sz w:val="28"/>
          <w:szCs w:val="28"/>
        </w:rPr>
        <w:t>Objaśnienia</w:t>
      </w:r>
      <w:r w:rsidRPr="00456D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wartości przyjętych w wieloletniej prognozie finansowej</w:t>
      </w:r>
    </w:p>
    <w:p w14:paraId="07D0CCE7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D7D">
        <w:rPr>
          <w:rFonts w:ascii="Times New Roman" w:hAnsi="Times New Roman" w:cs="Times New Roman"/>
          <w:b/>
          <w:bCs/>
          <w:sz w:val="30"/>
          <w:szCs w:val="30"/>
        </w:rPr>
        <w:t>Gminy Nowogródek Pomorski</w:t>
      </w:r>
    </w:p>
    <w:p w14:paraId="70517A34" w14:textId="77777777" w:rsidR="00456D7D" w:rsidRPr="00456D7D" w:rsidRDefault="00456D7D" w:rsidP="00456D7D">
      <w:pPr>
        <w:widowControl w:val="0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6D7D">
        <w:rPr>
          <w:rFonts w:ascii="Times New Roman" w:hAnsi="Times New Roman" w:cs="Times New Roman"/>
          <w:b/>
          <w:bCs/>
          <w:sz w:val="20"/>
          <w:szCs w:val="20"/>
        </w:rPr>
        <w:t>na lata 2021 - 2031</w:t>
      </w:r>
    </w:p>
    <w:p w14:paraId="00CA1741" w14:textId="77777777" w:rsidR="00456D7D" w:rsidRPr="00456D7D" w:rsidRDefault="00456D7D" w:rsidP="00456D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63EABD8D" w14:textId="77777777" w:rsidR="00456D7D" w:rsidRPr="00456D7D" w:rsidRDefault="00456D7D" w:rsidP="00456D7D">
      <w:pPr>
        <w:widowControl w:val="0"/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dochodów  w latach  2021 – 2031  wykazanych w poz. 1.(str.1):</w:t>
      </w:r>
    </w:p>
    <w:p w14:paraId="3F76B91E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48A8929C" w14:textId="77777777" w:rsidR="00456D7D" w:rsidRPr="00456D7D" w:rsidRDefault="00456D7D" w:rsidP="00456D7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Dla roku 2021 przyjęto wartości z  budżetu na 2021r. W roku 2022 wzrost dochodów bieżących szacuje się o ok. 2-4%,   w następnych latach 2022-2030 przyjęto wskaźnik wzrostu ok. 2% w stosunku do roku poprzedzającego rok budżetowy.  Ponadto w latach 2021-2023 zaplanowano dochody majątkowe z tytułu dotacji na realizację inwestycji w ramach dofinansowania  z  budżetu UE - 4.694.550,00 oraz z Rządowego Funduszu Inwestycji Lokalnych - 4.873.617,13. </w:t>
      </w:r>
    </w:p>
    <w:p w14:paraId="060D34EE" w14:textId="77777777" w:rsidR="00456D7D" w:rsidRPr="00456D7D" w:rsidRDefault="00456D7D" w:rsidP="00456D7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W ramach dochodów ze sprzedaży majątku w 2021r. </w:t>
      </w:r>
      <w:r w:rsidRPr="00456D7D">
        <w:rPr>
          <w:rFonts w:ascii="Calibri" w:hAnsi="Calibri" w:cs="Calibri"/>
          <w:sz w:val="24"/>
          <w:szCs w:val="24"/>
        </w:rPr>
        <w:t xml:space="preserve">w </w:t>
      </w:r>
      <w:r w:rsidRPr="00456D7D">
        <w:rPr>
          <w:rFonts w:ascii="Times New Roman" w:hAnsi="Times New Roman" w:cs="Times New Roman"/>
          <w:sz w:val="24"/>
          <w:szCs w:val="24"/>
        </w:rPr>
        <w:t>budżecie gminy oraz w WPF  zaplanowano  kwotę – 185.000,00, na tę wartość składają się:</w:t>
      </w:r>
    </w:p>
    <w:p w14:paraId="43B44229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a) 15.000,00 – wpływy za nieruchomości sprzedane wcześniej na raty </w:t>
      </w:r>
    </w:p>
    <w:p w14:paraId="755B0578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b) 170.000,00 -  wpływy ze sprzedaży mienia planowanego do sprzedaży – w tym:</w:t>
      </w:r>
    </w:p>
    <w:p w14:paraId="3FEDBFFC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 w Nowogródku Pomorskim Nr 339/3 - szacowana wartość  20.000,00</w:t>
      </w:r>
    </w:p>
    <w:p w14:paraId="1EEAF5E6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dziaka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Nr 378/6 w Giżynie - szacowana wartość 60.000,00</w:t>
      </w:r>
    </w:p>
    <w:p w14:paraId="36E839BE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Nr 128 w Giżynie - szacowana wartość 10.000,00</w:t>
      </w:r>
    </w:p>
    <w:p w14:paraId="05FC08EA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Nr 661/4 w Karsku - szacowana wartość 10.000,00</w:t>
      </w:r>
    </w:p>
    <w:p w14:paraId="30EEB926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Nr 30/48 w Kinicach - szacowana wartość 10.000,00</w:t>
      </w:r>
    </w:p>
    <w:p w14:paraId="5141ACDD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- działka Nr 30/49 w Kinicach -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szczowana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wartość 10.000,00</w:t>
      </w:r>
    </w:p>
    <w:p w14:paraId="5F916DC1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- działka Nr 30/50 w Kinicach -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szcowana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wartość 10.000,00</w:t>
      </w:r>
    </w:p>
    <w:p w14:paraId="692C6C4A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Nr 336/2 w Nowogródku Pomorskim - szacowana wartość 20.000,00</w:t>
      </w:r>
    </w:p>
    <w:p w14:paraId="6843314A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działka Nr 458/22 w Nowogródku Pomorskim - szacowana wartość 20.000,00</w:t>
      </w:r>
    </w:p>
    <w:p w14:paraId="74C6DEFD" w14:textId="77777777" w:rsidR="00456D7D" w:rsidRPr="00456D7D" w:rsidRDefault="00456D7D" w:rsidP="00456D7D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Dla roku 2022 przyjęto w planie kwotę 100.000,00 , są to wpływy ze sprzedaży ratalnej ok. 22.000,00 zł. oraz  wpływy ze sprzedaży mienia w kwocie 78.000,00, w tym: </w:t>
      </w:r>
    </w:p>
    <w:p w14:paraId="0C657A76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- działka Nr 463 Giżyn o pow. 0,90 ha  </w:t>
      </w:r>
    </w:p>
    <w:p w14:paraId="2C17BFBC" w14:textId="77777777" w:rsidR="00456D7D" w:rsidRPr="00456D7D" w:rsidRDefault="00456D7D" w:rsidP="00456D7D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Natomiast wpływy ze sprzedaży nieruchomości planowane w WPF w latach następnych są wartościami szacunkowymi, które aktualizowane są każdorazowo dla danego roku budżetowego.</w:t>
      </w:r>
    </w:p>
    <w:p w14:paraId="262351FC" w14:textId="77777777" w:rsidR="00456D7D" w:rsidRPr="00456D7D" w:rsidRDefault="00456D7D" w:rsidP="00456D7D">
      <w:pPr>
        <w:widowControl w:val="0"/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     2.  Dotyczy wydatków  w latach 2021-2031  wykazanych w poz. 2(str.2):</w:t>
      </w:r>
    </w:p>
    <w:p w14:paraId="340CFD59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lastRenderedPageBreak/>
        <w:t>Objaśnienia:</w:t>
      </w:r>
    </w:p>
    <w:p w14:paraId="71602023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Dla roku 2021 przyjęto wartości z  budżetu na 2021r. W latach 2022 – 2031 planuje się dalsze ograniczanie wydatków bieżących w związku z koniecznością zachowania od 2014 r. zgodności budżetu i WPF z wymaganiami art. 243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ufp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>, w związku z czym przyjęto realny wzrost wydatków  bieżących o ok. 3-6% w stosunku do roku poprzedzającego rok budżetowy. Realizacja inwestycji przede wszystkim uzależniona jest od pozyskania środków pomocowych z budżetu UE oraz RFIL.</w:t>
      </w:r>
    </w:p>
    <w:p w14:paraId="0FBDD2A2" w14:textId="77777777" w:rsidR="00456D7D" w:rsidRPr="00456D7D" w:rsidRDefault="00456D7D" w:rsidP="00456D7D">
      <w:pPr>
        <w:widowControl w:val="0"/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      3.  Dotyczy wyniku (ów) budżetu  w latach 2021 - 2031 wykazanych w poz. 3 (str.3):</w:t>
      </w:r>
    </w:p>
    <w:p w14:paraId="00464455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22B81C31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W 2021 r.  budżet zamknął się wynikiem ujemnym w kwocie (-)3.136.580,17 .  W następnych latach 2022-2031 w związku z dalszym ograniczaniem wydatków bieżących występuje  dodatni wynik budżetu.</w:t>
      </w:r>
    </w:p>
    <w:p w14:paraId="0C1E36D5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A3FA0" w14:textId="77777777" w:rsidR="00456D7D" w:rsidRPr="00456D7D" w:rsidRDefault="00456D7D" w:rsidP="00456D7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przeznaczenia nadwyżek budżetu  w latach 2021 – 2031 wykazanych w poz. 3 (str. 3):</w:t>
      </w:r>
    </w:p>
    <w:p w14:paraId="35D7CA72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327E51DB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W roku 2021r. wystąpił deficyt budżetu w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kowocie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(-) 3.136.580,17, który pokryty zostanie środkami pochodzącymi z kredytu długoterminowego w kwocie 281.237,00 oraz z przychodów budżetu w kwocie 2.855.353,17.  W latach następnych  szacuje się, że zostanie wypracowana nadwyżka budżetowa, która  przeznaczona będzie na spłatę rat kredytów i pożyczek długoterminowych, a pozostała jej część wykorzystana zostanie na dalszą realizację inwestycji na terenie gminy.</w:t>
      </w:r>
    </w:p>
    <w:p w14:paraId="3316FB40" w14:textId="77777777" w:rsidR="00456D7D" w:rsidRPr="00456D7D" w:rsidRDefault="00456D7D" w:rsidP="00456D7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sposobu sfinansowania deficytu budżetu roku  2021  wykazanego w poz. 3(str.3):</w:t>
      </w:r>
    </w:p>
    <w:p w14:paraId="13B1A50A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21151B7E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W 2021 roku deficyt budżetowy w kwocie (-) 3.136.580,17 pokryty zostanie kredytem długoterminowym w kwocie 281.237,00 oraz przychodami w kwocie 2.855.343,17. </w:t>
      </w:r>
    </w:p>
    <w:p w14:paraId="41CC86B7" w14:textId="77777777" w:rsidR="00456D7D" w:rsidRPr="00456D7D" w:rsidRDefault="00456D7D" w:rsidP="00456D7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przychodów  roku 2021  wykazanych w poz. 4 (str.3):</w:t>
      </w:r>
    </w:p>
    <w:p w14:paraId="5E59016E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1798C8D5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W 2021 r. - planuje się przychody budżetowe w kwocie - 4.155.343,17, w tym z tytułu:</w:t>
      </w:r>
    </w:p>
    <w:p w14:paraId="5B5D4E1F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a) kredytów i pożyczek długoterminowych w kwocie 1.300.000,00, które przeznaczone zostaną na sfinansowanie deficytu budżetu w kwocie (-) 286.237,00 oraz planowanych zadań inwestycyjnych, </w:t>
      </w:r>
    </w:p>
    <w:p w14:paraId="258AE4B0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b)  przychodów budżetu w kwocie - 2.855.343,17 z tytułu środków otrzymanych w 2020 r. i nie wykorzystanych do końca tego roku, w tym:</w:t>
      </w:r>
    </w:p>
    <w:p w14:paraId="5C73FD37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 5.000,00 z tytułu środków pozostałych z rozliczenia wpłat za zezwolenia na sprzedaż napojów alkoholowych, które przeznaczone zostaną na sfinansowanie zadań związanych z przeciwdziałaniem alkoholizmowi i narkomanii,</w:t>
      </w:r>
    </w:p>
    <w:p w14:paraId="68C6198B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- 368.389,00 dotacja z Funduszu Dróg Samorządowych na modernizację drogi w Kinicach,</w:t>
      </w:r>
    </w:p>
    <w:p w14:paraId="12CEDF49" w14:textId="4AF5A589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- 1.815.274,87 dotacja z Rządowego Funduszu Inwestycji Lokalnych z </w:t>
      </w:r>
      <w:r w:rsidRPr="00456D7D">
        <w:rPr>
          <w:rFonts w:ascii="Times New Roman" w:hAnsi="Times New Roman" w:cs="Times New Roman"/>
          <w:sz w:val="24"/>
          <w:szCs w:val="24"/>
        </w:rPr>
        <w:lastRenderedPageBreak/>
        <w:t>prze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56D7D">
        <w:rPr>
          <w:rFonts w:ascii="Times New Roman" w:hAnsi="Times New Roman" w:cs="Times New Roman"/>
          <w:sz w:val="24"/>
          <w:szCs w:val="24"/>
        </w:rPr>
        <w:t>naczeniem na inwestycje na drogach gminnych oraz na dotację dla Powiatu Myśliborskiego na modernizację drogi powiatowej na terenie Gminy Nowogródek Pomorski,</w:t>
      </w:r>
    </w:p>
    <w:p w14:paraId="2558BBAD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 486.679,35 dotacja z Rządowego Funduszu Inwestycji Lokalnych z przeznaczeniem na dofinansowanie do inwestycji gminnych</w:t>
      </w:r>
    </w:p>
    <w:p w14:paraId="5824B29D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- 179.999,95 dotacja z PFRON (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door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>) z przeznaczeniem na zakup samochodu do przewozu osób niepełnosprawnych oraz na pokrycie kosztów z tym związanych</w:t>
      </w:r>
    </w:p>
    <w:p w14:paraId="12E517EA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D32E8A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Spłata zadłużenia zaplanowana została w latach 2022 - 2031.</w:t>
      </w:r>
    </w:p>
    <w:p w14:paraId="35AD6FBA" w14:textId="77777777" w:rsidR="00456D7D" w:rsidRPr="00456D7D" w:rsidRDefault="00456D7D" w:rsidP="00456D7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rozchodów  w latach 2021 - 2031 wykazanych w poz. 5 (str.4):</w:t>
      </w:r>
    </w:p>
    <w:p w14:paraId="59A3F555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020791A7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56D7D">
        <w:rPr>
          <w:rFonts w:ascii="Times New Roman" w:hAnsi="Times New Roman" w:cs="Times New Roman"/>
          <w:sz w:val="24"/>
          <w:szCs w:val="24"/>
        </w:rPr>
        <w:t>W latach 2021-2031 planowana jest spłata kredytów i pożyczek zaciągniętych w latach 2012r.  - 2021r. Spłata rat kredytów i pożyczek w roku 2021 w kwocie 1.018.763,00 nastąpi z  przychodów budżetu, a w latach następnych 2022 - 2031 z planowanej  nadwyżki budżetowej,</w:t>
      </w:r>
    </w:p>
    <w:p w14:paraId="776B69FD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ECE0333" w14:textId="77777777" w:rsidR="00456D7D" w:rsidRPr="00456D7D" w:rsidRDefault="00456D7D" w:rsidP="00456D7D">
      <w:pPr>
        <w:widowControl w:val="0"/>
        <w:numPr>
          <w:ilvl w:val="0"/>
          <w:numId w:val="2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Dotyczy długu publicznego na koniec roku  2021 – 2031  wykazanych w poz. 6 (str.5):</w:t>
      </w:r>
    </w:p>
    <w:p w14:paraId="705DA8D8" w14:textId="77777777" w:rsidR="00456D7D" w:rsidRPr="00456D7D" w:rsidRDefault="00456D7D" w:rsidP="00456D7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54236745" w14:textId="77777777" w:rsidR="00456D7D" w:rsidRPr="00456D7D" w:rsidRDefault="00456D7D" w:rsidP="00456D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Planowana kwota długu publicznego na koniec 2021 r. wyniesie 4.255.447,60 co stanowi 14,17%  do       planowanych dochodów ogółem,  spłata tego zadłużenia zaplanowana została na 10 kolejnych    lat, tj. do 2031r.</w:t>
      </w:r>
    </w:p>
    <w:p w14:paraId="6D3DA532" w14:textId="77777777" w:rsidR="00456D7D" w:rsidRPr="00456D7D" w:rsidRDefault="00456D7D" w:rsidP="00456D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754EA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     9.  Dotyczy wskaźnika spłaty zobowiązań (str.6) - </w:t>
      </w:r>
    </w:p>
    <w:p w14:paraId="5B81889F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13632018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w roku 2021 jak i latach następnych wskaźnik obsługi zadłużenia jest zachowany.</w:t>
      </w:r>
    </w:p>
    <w:p w14:paraId="5CD2F483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FB1D7C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  10.  Dotyczy finansowania programów, projektów realizowanych ze środków o </w:t>
      </w:r>
      <w:proofErr w:type="spellStart"/>
      <w:r w:rsidRPr="00456D7D">
        <w:rPr>
          <w:rFonts w:ascii="Times New Roman" w:hAnsi="Times New Roman" w:cs="Times New Roman"/>
          <w:sz w:val="24"/>
          <w:szCs w:val="24"/>
        </w:rPr>
        <w:t>krórych</w:t>
      </w:r>
      <w:proofErr w:type="spellEnd"/>
      <w:r w:rsidRPr="00456D7D">
        <w:rPr>
          <w:rFonts w:ascii="Times New Roman" w:hAnsi="Times New Roman" w:cs="Times New Roman"/>
          <w:sz w:val="24"/>
          <w:szCs w:val="24"/>
        </w:rPr>
        <w:t xml:space="preserve"> mowa w art.5 ust. 1 pkt. 2 i 3 ustawy (środki pomocowe z budżet UE) (str.7 i 8) </w:t>
      </w:r>
    </w:p>
    <w:p w14:paraId="73A6D3FE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621FAF15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wykazano zadania w latach 2021-2023 zgodnie z  wykazem przedsięwzięć do WPF.</w:t>
      </w:r>
    </w:p>
    <w:p w14:paraId="748CA38C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B39C7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 xml:space="preserve">       11.  Dotyczy informacji uzupełniających o wybranych kategoriach finansowych (str.9)</w:t>
      </w:r>
    </w:p>
    <w:p w14:paraId="76947450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F05EB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Objaśnienia:</w:t>
      </w:r>
    </w:p>
    <w:p w14:paraId="64D2CEBA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7D">
        <w:rPr>
          <w:rFonts w:ascii="Times New Roman" w:hAnsi="Times New Roman" w:cs="Times New Roman"/>
          <w:sz w:val="24"/>
          <w:szCs w:val="24"/>
        </w:rPr>
        <w:t>w latach 2021 - 2028 wykazana jest spłata zobowiązań z tytułu pożyczek i kredytów długoterminowych już zaciągniętych. Łączna kwota zadłużenia przypadająca do spłaty w tych latach wynosi kwotę 3.974.210,60</w:t>
      </w:r>
    </w:p>
    <w:p w14:paraId="0651A4EB" w14:textId="77777777" w:rsidR="00456D7D" w:rsidRPr="00456D7D" w:rsidRDefault="00456D7D" w:rsidP="00456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CE21E" w14:textId="77777777" w:rsidR="006E682B" w:rsidRDefault="006E682B"/>
    <w:sectPr w:rsidR="006E682B" w:rsidSect="00082168">
      <w:pgSz w:w="11909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06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42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78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214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50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86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322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58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94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D7D"/>
    <w:rsid w:val="00456D7D"/>
    <w:rsid w:val="006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3944"/>
  <w15:chartTrackingRefBased/>
  <w15:docId w15:val="{54AFAC83-EDB8-4276-B668-68DFDA13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914</Words>
  <Characters>5485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</cp:revision>
  <dcterms:created xsi:type="dcterms:W3CDTF">2021-11-26T14:33:00Z</dcterms:created>
  <dcterms:modified xsi:type="dcterms:W3CDTF">2021-11-26T14:35:00Z</dcterms:modified>
</cp:coreProperties>
</file>